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223" w:rsidRDefault="00C10223" w:rsidP="00C10223">
      <w:pPr>
        <w:jc w:val="center"/>
      </w:pPr>
    </w:p>
    <w:p w:rsidR="00E55273" w:rsidRDefault="00C10223" w:rsidP="00C10223">
      <w:pPr>
        <w:jc w:val="center"/>
      </w:pPr>
      <w:r>
        <w:t>REVELATION 11</w:t>
      </w:r>
    </w:p>
    <w:p w:rsidR="000D5D55" w:rsidRDefault="000D5D55" w:rsidP="000D5D55">
      <w:pPr>
        <w:jc w:val="center"/>
      </w:pPr>
    </w:p>
    <w:p w:rsidR="000D5D55" w:rsidRDefault="000D5D55" w:rsidP="000D5D55">
      <w:pPr>
        <w:jc w:val="center"/>
      </w:pPr>
    </w:p>
    <w:p w:rsidR="000D5D55" w:rsidRDefault="000D5D55" w:rsidP="000D5D55">
      <w:pPr>
        <w:jc w:val="center"/>
      </w:pPr>
    </w:p>
    <w:p w:rsidR="000D5D55" w:rsidRDefault="000D5D55" w:rsidP="000D5D55">
      <w:pPr>
        <w:jc w:val="center"/>
      </w:pPr>
    </w:p>
    <w:p w:rsidR="000D5D55" w:rsidRDefault="000D5D55" w:rsidP="000D5D55">
      <w:pPr>
        <w:jc w:val="center"/>
      </w:pPr>
      <w:r>
        <w:t>Name</w:t>
      </w:r>
    </w:p>
    <w:p w:rsidR="00C10223" w:rsidRDefault="00C10223" w:rsidP="000D5D55">
      <w:pPr>
        <w:jc w:val="center"/>
      </w:pPr>
      <w:r>
        <w:t xml:space="preserve">Course </w:t>
      </w:r>
    </w:p>
    <w:p w:rsidR="00713E84" w:rsidRDefault="00713E84" w:rsidP="000D5D55">
      <w:pPr>
        <w:jc w:val="center"/>
      </w:pPr>
      <w:r>
        <w:t>Date</w:t>
      </w:r>
    </w:p>
    <w:p w:rsidR="00713E84" w:rsidRDefault="00713E84">
      <w:r>
        <w:t xml:space="preserve">  </w:t>
      </w:r>
    </w:p>
    <w:p w:rsidR="000D5D55" w:rsidRDefault="000D5D55" w:rsidP="00713E84">
      <w:pPr>
        <w:jc w:val="center"/>
        <w:rPr>
          <w:b/>
        </w:rPr>
      </w:pPr>
    </w:p>
    <w:p w:rsidR="000D5D55" w:rsidRDefault="000D5D55" w:rsidP="00713E84">
      <w:pPr>
        <w:jc w:val="center"/>
        <w:rPr>
          <w:b/>
        </w:rPr>
      </w:pPr>
    </w:p>
    <w:p w:rsidR="000D5D55" w:rsidRDefault="000D5D55" w:rsidP="00713E84">
      <w:pPr>
        <w:jc w:val="center"/>
        <w:rPr>
          <w:b/>
        </w:rPr>
      </w:pPr>
    </w:p>
    <w:p w:rsidR="000D5D55" w:rsidRDefault="000D5D55" w:rsidP="00713E84">
      <w:pPr>
        <w:jc w:val="center"/>
        <w:rPr>
          <w:b/>
        </w:rPr>
      </w:pPr>
    </w:p>
    <w:p w:rsidR="000D5D55" w:rsidRDefault="000D5D55" w:rsidP="00713E84">
      <w:pPr>
        <w:jc w:val="center"/>
        <w:rPr>
          <w:b/>
        </w:rPr>
      </w:pPr>
    </w:p>
    <w:p w:rsidR="000D5D55" w:rsidRDefault="000D5D55" w:rsidP="00D84BEF">
      <w:pPr>
        <w:rPr>
          <w:b/>
        </w:rPr>
      </w:pPr>
    </w:p>
    <w:p w:rsidR="000D5D55" w:rsidRDefault="000D5D55" w:rsidP="00713E84">
      <w:pPr>
        <w:jc w:val="center"/>
        <w:rPr>
          <w:b/>
        </w:rPr>
      </w:pPr>
    </w:p>
    <w:p w:rsidR="000D5D55" w:rsidRDefault="000D5D55" w:rsidP="00713E84">
      <w:pPr>
        <w:jc w:val="center"/>
        <w:rPr>
          <w:b/>
        </w:rPr>
      </w:pPr>
    </w:p>
    <w:p w:rsidR="00713E84" w:rsidRPr="009F2A3F" w:rsidRDefault="00713E84" w:rsidP="00C10223">
      <w:pPr>
        <w:jc w:val="center"/>
        <w:rPr>
          <w:b/>
        </w:rPr>
      </w:pPr>
      <w:r w:rsidRPr="009F2A3F">
        <w:rPr>
          <w:b/>
        </w:rPr>
        <w:lastRenderedPageBreak/>
        <w:t>The Two Witnesses in Revelation 11</w:t>
      </w:r>
    </w:p>
    <w:p w:rsidR="00713E84" w:rsidRDefault="00713E84" w:rsidP="009F2A3F">
      <w:pPr>
        <w:ind w:firstLine="720"/>
      </w:pPr>
      <w:r>
        <w:t>The two witnesses in Revelation 11 are two people who have been gifted with power by God before his return in three and a half years. Anyone who tries to hurt them before they can finish their ministry “fire proceeds from their mouth and devours their enemies.”</w:t>
      </w:r>
      <w:r w:rsidR="00C10223">
        <w:rPr>
          <w:rStyle w:val="FootnoteReference"/>
        </w:rPr>
        <w:footnoteReference w:id="1"/>
      </w:r>
      <w:r w:rsidR="00E54B86">
        <w:t xml:space="preserve"> </w:t>
      </w:r>
      <w:r w:rsidR="00A100A6">
        <w:t xml:space="preserve">However it is not clear as who they are because they are perceived to have some powers as that of Elijah. They are perceived to have authority to produce famine and starvation, strike the earth with epidemics similar Moses did. They will be used to spread the gospel and preach of the immoralities in the world. This will bring a lot of conflicts with the people and their government. This will see them martyred leaving the people to rejoice and celebrate their deaths. However they will arise into the sky </w:t>
      </w:r>
      <w:r w:rsidR="002E72F7">
        <w:t>and the people will be astonished</w:t>
      </w:r>
      <w:r w:rsidR="00A100A6">
        <w:t xml:space="preserve"> in fear as the two witnes</w:t>
      </w:r>
      <w:r w:rsidR="00C10223">
        <w:t>ses will resurrect</w:t>
      </w:r>
      <w:r w:rsidR="00A100A6">
        <w:t>.</w:t>
      </w:r>
      <w:r w:rsidR="00C10223">
        <w:rPr>
          <w:rStyle w:val="FootnoteReference"/>
        </w:rPr>
        <w:footnoteReference w:id="2"/>
      </w:r>
      <w:r w:rsidR="002E72F7" w:rsidRPr="002E72F7">
        <w:t xml:space="preserve"> </w:t>
      </w:r>
      <w:r w:rsidR="002E72F7">
        <w:t>They are also referred to as the two olives as they will nourish the church spiritually during scarcity of the word.</w:t>
      </w:r>
    </w:p>
    <w:p w:rsidR="00713E84" w:rsidRPr="009F2A3F" w:rsidRDefault="00713E84" w:rsidP="00C10223">
      <w:pPr>
        <w:jc w:val="center"/>
        <w:rPr>
          <w:b/>
        </w:rPr>
      </w:pPr>
      <w:r w:rsidRPr="009F2A3F">
        <w:rPr>
          <w:b/>
        </w:rPr>
        <w:t>The Frame of Reference from which John calls them the Tw</w:t>
      </w:r>
      <w:r w:rsidR="00E83161" w:rsidRPr="009F2A3F">
        <w:rPr>
          <w:b/>
        </w:rPr>
        <w:t>o Olive Trees and Two Lambs-Stands before the Lord</w:t>
      </w:r>
    </w:p>
    <w:p w:rsidR="00E83161" w:rsidRDefault="00E83161" w:rsidP="009F2A3F">
      <w:pPr>
        <w:ind w:firstLine="720"/>
      </w:pPr>
      <w:r>
        <w:t xml:space="preserve">The two olive trees are used to signify </w:t>
      </w:r>
      <w:r w:rsidR="00465847">
        <w:t xml:space="preserve">the Holy Spirit’s limitless stream of anointing that is intended to keep the observers empowered and ignited for the world to perceive the Lord’s theme. It also shows how God will arm them to carry the cloak of divination. The two olive trees and two lams-stands </w:t>
      </w:r>
      <w:r w:rsidR="00C10223">
        <w:t>represent</w:t>
      </w:r>
      <w:r w:rsidR="00465847">
        <w:t xml:space="preserve"> a twin</w:t>
      </w:r>
      <w:r w:rsidR="004B2A0D">
        <w:t xml:space="preserve"> nature.</w:t>
      </w:r>
      <w:r w:rsidR="00321650">
        <w:rPr>
          <w:rStyle w:val="FootnoteReference"/>
        </w:rPr>
        <w:footnoteReference w:id="3"/>
      </w:r>
      <w:r w:rsidR="004B2A0D">
        <w:t xml:space="preserve"> The two olive trees </w:t>
      </w:r>
      <w:r w:rsidR="008B5359">
        <w:t>signify</w:t>
      </w:r>
      <w:r w:rsidR="004B2A0D">
        <w:t xml:space="preserve"> the ruling and the two </w:t>
      </w:r>
      <w:r w:rsidR="004B2A0D">
        <w:lastRenderedPageBreak/>
        <w:t xml:space="preserve">fortune-tellers. It </w:t>
      </w:r>
      <w:r w:rsidR="00256BA3">
        <w:t xml:space="preserve">also refers to </w:t>
      </w:r>
      <w:proofErr w:type="spellStart"/>
      <w:r w:rsidR="00256BA3">
        <w:t>Zerrubabel</w:t>
      </w:r>
      <w:proofErr w:type="spellEnd"/>
      <w:r w:rsidR="00256BA3">
        <w:t xml:space="preserve"> and Joshua. These kinsmen were observers for God in their </w:t>
      </w:r>
      <w:r w:rsidR="00642EC9">
        <w:t>property</w:t>
      </w:r>
      <w:r w:rsidR="00C10223">
        <w:t xml:space="preserve"> and their community.</w:t>
      </w:r>
    </w:p>
    <w:p w:rsidR="009F2A3F" w:rsidRDefault="009B7E22" w:rsidP="00C10223">
      <w:pPr>
        <w:jc w:val="center"/>
      </w:pPr>
      <w:r w:rsidRPr="009F2A3F">
        <w:rPr>
          <w:b/>
        </w:rPr>
        <w:t xml:space="preserve">The Clues </w:t>
      </w:r>
      <w:r w:rsidR="00C10223" w:rsidRPr="009F2A3F">
        <w:rPr>
          <w:b/>
        </w:rPr>
        <w:t xml:space="preserve">from Their Miraculous Abilities to </w:t>
      </w:r>
      <w:r w:rsidRPr="009F2A3F">
        <w:rPr>
          <w:b/>
        </w:rPr>
        <w:t xml:space="preserve">Show </w:t>
      </w:r>
      <w:r w:rsidR="00C10223" w:rsidRPr="009F2A3F">
        <w:rPr>
          <w:b/>
        </w:rPr>
        <w:t xml:space="preserve">Their </w:t>
      </w:r>
      <w:r w:rsidRPr="009F2A3F">
        <w:rPr>
          <w:b/>
        </w:rPr>
        <w:t>Identity</w:t>
      </w:r>
      <w:r w:rsidR="008B5359">
        <w:rPr>
          <w:b/>
        </w:rPr>
        <w:t xml:space="preserve"> </w:t>
      </w:r>
      <w:r w:rsidR="00C10223">
        <w:rPr>
          <w:b/>
        </w:rPr>
        <w:t>the</w:t>
      </w:r>
      <w:r w:rsidR="00C10223" w:rsidRPr="009F2A3F">
        <w:rPr>
          <w:b/>
        </w:rPr>
        <w:t xml:space="preserve"> </w:t>
      </w:r>
      <w:r w:rsidRPr="009F2A3F">
        <w:rPr>
          <w:b/>
        </w:rPr>
        <w:t xml:space="preserve">Bible </w:t>
      </w:r>
      <w:r w:rsidR="00C10223" w:rsidRPr="009F2A3F">
        <w:rPr>
          <w:b/>
        </w:rPr>
        <w:t xml:space="preserve">Says In </w:t>
      </w:r>
      <w:r w:rsidRPr="009F2A3F">
        <w:rPr>
          <w:b/>
        </w:rPr>
        <w:t>Revelation</w:t>
      </w:r>
      <w:r>
        <w:t xml:space="preserve"> </w:t>
      </w:r>
      <w:r w:rsidR="00C10223">
        <w:t>11</w:t>
      </w:r>
    </w:p>
    <w:p w:rsidR="00A646B5" w:rsidRDefault="009B7E22" w:rsidP="009F2A3F">
      <w:pPr>
        <w:ind w:firstLine="720"/>
      </w:pPr>
      <w:r>
        <w:t>“If anyone wants to harm them</w:t>
      </w:r>
      <w:r w:rsidR="00C10223">
        <w:t>…</w:t>
      </w:r>
      <w:r>
        <w:t>” This shows that their gospel is not appreciated and that people would like to se</w:t>
      </w:r>
      <w:r w:rsidR="00321650">
        <w:t xml:space="preserve">e them </w:t>
      </w:r>
      <w:proofErr w:type="spellStart"/>
      <w:r w:rsidR="00321650">
        <w:t>dead</w:t>
      </w:r>
      <w:proofErr w:type="gramStart"/>
      <w:r w:rsidR="00321650">
        <w:t>.</w:t>
      </w:r>
      <w:r>
        <w:t>“</w:t>
      </w:r>
      <w:proofErr w:type="gramEnd"/>
      <w:r>
        <w:t>In</w:t>
      </w:r>
      <w:proofErr w:type="spellEnd"/>
      <w:r>
        <w:t xml:space="preserve"> the judgments of the world dwellers </w:t>
      </w:r>
      <w:proofErr w:type="gramStart"/>
      <w:r>
        <w:t>who</w:t>
      </w:r>
      <w:proofErr w:type="gramEnd"/>
      <w:r>
        <w:t xml:space="preserve"> will dislike these observers, the capability for the creature to kill them </w:t>
      </w:r>
      <w:r w:rsidR="00A646B5">
        <w:t xml:space="preserve">is a </w:t>
      </w:r>
      <w:r w:rsidR="00642EC9">
        <w:t>testament</w:t>
      </w:r>
      <w:r w:rsidR="00A646B5">
        <w:t xml:space="preserve"> to his </w:t>
      </w:r>
      <w:r w:rsidR="00642EC9">
        <w:t>strength”.</w:t>
      </w:r>
      <w:r w:rsidR="00321650">
        <w:rPr>
          <w:rStyle w:val="FootnoteReference"/>
        </w:rPr>
        <w:footnoteReference w:id="4"/>
      </w:r>
      <w:r w:rsidR="00642EC9">
        <w:t xml:space="preserve"> He is viewed as a redeemer from these hateful seers and their conquest no doubt uplifts his rank before t</w:t>
      </w:r>
      <w:r w:rsidR="00321650">
        <w:t>he earth inhabitants</w:t>
      </w:r>
      <w:r w:rsidR="00642EC9">
        <w:t>.</w:t>
      </w:r>
    </w:p>
    <w:p w:rsidR="00642EC9" w:rsidRDefault="00642EC9" w:rsidP="009F2A3F">
      <w:pPr>
        <w:ind w:firstLine="720"/>
      </w:pPr>
      <w:r>
        <w:t xml:space="preserve">Fire proceeds from their mouth. Anyone who speaks harm against the two observers </w:t>
      </w:r>
      <w:proofErr w:type="gramStart"/>
      <w:r>
        <w:t>face</w:t>
      </w:r>
      <w:proofErr w:type="gramEnd"/>
      <w:r>
        <w:t xml:space="preserve"> a comparable fate to the opponents of the army of the s</w:t>
      </w:r>
      <w:r w:rsidR="00321650">
        <w:t>ixth trumpet</w:t>
      </w:r>
      <w:r>
        <w:t>.</w:t>
      </w:r>
      <w:r w:rsidR="00321650">
        <w:t xml:space="preserve"> </w:t>
      </w:r>
      <w:r w:rsidR="00321650">
        <w:rPr>
          <w:rStyle w:val="FootnoteReference"/>
        </w:rPr>
        <w:footnoteReference w:id="5"/>
      </w:r>
      <w:r>
        <w:t xml:space="preserve"> In this case the fire is used to show destruction. When fire erupts from their mouths </w:t>
      </w:r>
      <w:r w:rsidR="000234FB">
        <w:t>or whether words call for it out, it would appear that the unique astonishing authority which appears such a cautious ability is envisioned to manifest the heavenly source of their ministry.</w:t>
      </w:r>
    </w:p>
    <w:p w:rsidR="000234FB" w:rsidRPr="009F2A3F" w:rsidRDefault="000234FB" w:rsidP="00C10223">
      <w:pPr>
        <w:jc w:val="center"/>
        <w:rPr>
          <w:b/>
        </w:rPr>
      </w:pPr>
      <w:r w:rsidRPr="009F2A3F">
        <w:rPr>
          <w:b/>
        </w:rPr>
        <w:t>When they Prophecy</w:t>
      </w:r>
    </w:p>
    <w:p w:rsidR="00D75E84" w:rsidRPr="00C10223" w:rsidRDefault="00235EC4" w:rsidP="00C10223">
      <w:pPr>
        <w:ind w:firstLine="720"/>
      </w:pPr>
      <w:r>
        <w:t xml:space="preserve">The two witnesses prophesied during the tribulation of the end of times. This is seen when the people kill them to avoid the preaching of the gospel and later on they resurrect again. </w:t>
      </w:r>
      <w:r>
        <w:lastRenderedPageBreak/>
        <w:t>They are also called the two olive oil trees that need to satisfy the people spiritually who are hungry for the gospel.</w:t>
      </w:r>
      <w:r w:rsidR="00321650">
        <w:t xml:space="preserve"> </w:t>
      </w:r>
      <w:r w:rsidR="00321650">
        <w:rPr>
          <w:rStyle w:val="FootnoteReference"/>
        </w:rPr>
        <w:footnoteReference w:id="6"/>
      </w:r>
    </w:p>
    <w:p w:rsidR="00D75E84" w:rsidRDefault="00235EC4" w:rsidP="00C10223">
      <w:pPr>
        <w:jc w:val="center"/>
        <w:rPr>
          <w:b/>
        </w:rPr>
      </w:pPr>
      <w:r w:rsidRPr="009F2A3F">
        <w:rPr>
          <w:b/>
        </w:rPr>
        <w:t xml:space="preserve">The Reason to be </w:t>
      </w:r>
      <w:r w:rsidR="00C10223" w:rsidRPr="009F2A3F">
        <w:rPr>
          <w:b/>
        </w:rPr>
        <w:t xml:space="preserve">overcome </w:t>
      </w:r>
      <w:r w:rsidRPr="009F2A3F">
        <w:rPr>
          <w:b/>
        </w:rPr>
        <w:t>by the Beast</w:t>
      </w:r>
    </w:p>
    <w:p w:rsidR="00235EC4" w:rsidRPr="00D75E84" w:rsidRDefault="00235EC4" w:rsidP="00D75E84">
      <w:pPr>
        <w:ind w:firstLine="720"/>
        <w:rPr>
          <w:b/>
        </w:rPr>
      </w:pPr>
      <w:r>
        <w:t xml:space="preserve">The two witnesses are attacked by the beast and are defeated. This is because God anoints people to preach his gospel and </w:t>
      </w:r>
      <w:r w:rsidR="00192202">
        <w:t xml:space="preserve">will have completed their work. This is symbolic to Jesus Christ when he got betrayed after he had finished his work on earth. </w:t>
      </w:r>
    </w:p>
    <w:p w:rsidR="00192202" w:rsidRPr="009F2A3F" w:rsidRDefault="00192202" w:rsidP="00C10223">
      <w:pPr>
        <w:jc w:val="center"/>
        <w:rPr>
          <w:b/>
        </w:rPr>
      </w:pPr>
      <w:r w:rsidRPr="009F2A3F">
        <w:rPr>
          <w:b/>
        </w:rPr>
        <w:t>Significance of their Resurrection and Ascension</w:t>
      </w:r>
    </w:p>
    <w:p w:rsidR="00192202" w:rsidRDefault="009F2A3F" w:rsidP="009F2A3F">
      <w:pPr>
        <w:ind w:firstLine="720"/>
      </w:pPr>
      <w:r>
        <w:t>The resurrection and the ascension of the two witnesses is symbolic as it relates to Jesus who died and resurrected to prove to those who followed and loved him that he was the true son of God. Resurrection has been used in the Bible to signify that those who complete God’s work will resurrect to give hope to the believers.</w:t>
      </w:r>
    </w:p>
    <w:p w:rsidR="00321650" w:rsidRDefault="00321650" w:rsidP="00A646B5"/>
    <w:p w:rsidR="00321650" w:rsidRDefault="00321650" w:rsidP="00A646B5"/>
    <w:p w:rsidR="00321650" w:rsidRDefault="00321650" w:rsidP="00A646B5"/>
    <w:p w:rsidR="00321650" w:rsidRDefault="00321650" w:rsidP="00A646B5"/>
    <w:p w:rsidR="00321650" w:rsidRDefault="00321650" w:rsidP="00A646B5"/>
    <w:p w:rsidR="00321650" w:rsidRDefault="00321650" w:rsidP="00A646B5"/>
    <w:p w:rsidR="00D75E84" w:rsidRDefault="009F2A3F" w:rsidP="00321650">
      <w:pPr>
        <w:jc w:val="center"/>
      </w:pPr>
      <w:bookmarkStart w:id="0" w:name="_GoBack"/>
      <w:bookmarkEnd w:id="0"/>
      <w:r>
        <w:lastRenderedPageBreak/>
        <w:t>Bibliography</w:t>
      </w:r>
    </w:p>
    <w:p w:rsidR="0003618D" w:rsidRPr="00D75E84" w:rsidRDefault="0003618D" w:rsidP="00D75E84">
      <w:pPr>
        <w:ind w:left="720" w:hanging="720"/>
        <w:rPr>
          <w:szCs w:val="24"/>
        </w:rPr>
      </w:pPr>
      <w:r w:rsidRPr="00D75E84">
        <w:rPr>
          <w:szCs w:val="24"/>
        </w:rPr>
        <w:t>Brown, Ian R. "The Two Witnesses of Revelation 11: 1-13: Arguments, Issues of Interpretation, and a Way Forward." (2016).</w:t>
      </w:r>
    </w:p>
    <w:p w:rsidR="0003618D" w:rsidRPr="00D75E84" w:rsidRDefault="0003618D" w:rsidP="00D75E84">
      <w:pPr>
        <w:spacing w:after="0"/>
        <w:ind w:left="720" w:hanging="720"/>
        <w:rPr>
          <w:rFonts w:eastAsia="Times New Roman"/>
          <w:szCs w:val="24"/>
        </w:rPr>
      </w:pPr>
      <w:proofErr w:type="spellStart"/>
      <w:r w:rsidRPr="00D75E84">
        <w:rPr>
          <w:rFonts w:eastAsia="Times New Roman"/>
          <w:szCs w:val="24"/>
        </w:rPr>
        <w:t>Clintoc</w:t>
      </w:r>
      <w:proofErr w:type="spellEnd"/>
      <w:r w:rsidRPr="00D75E84">
        <w:rPr>
          <w:rFonts w:eastAsia="Times New Roman"/>
          <w:szCs w:val="24"/>
        </w:rPr>
        <w:t xml:space="preserve">, </w:t>
      </w:r>
      <w:proofErr w:type="spellStart"/>
      <w:r w:rsidRPr="00D75E84">
        <w:rPr>
          <w:rFonts w:eastAsia="Times New Roman"/>
          <w:szCs w:val="24"/>
        </w:rPr>
        <w:t>Viorel</w:t>
      </w:r>
      <w:proofErr w:type="spellEnd"/>
      <w:r w:rsidRPr="00D75E84">
        <w:rPr>
          <w:rFonts w:eastAsia="Times New Roman"/>
          <w:szCs w:val="24"/>
        </w:rPr>
        <w:t xml:space="preserve"> Samuel. </w:t>
      </w:r>
      <w:proofErr w:type="gramStart"/>
      <w:r w:rsidRPr="00D75E84">
        <w:rPr>
          <w:rFonts w:eastAsia="Times New Roman"/>
          <w:i/>
          <w:iCs/>
          <w:szCs w:val="24"/>
        </w:rPr>
        <w:t>The Theme of Witness in the Book of Revelation as Divine Testimony</w:t>
      </w:r>
      <w:r w:rsidRPr="00D75E84">
        <w:rPr>
          <w:rFonts w:eastAsia="Times New Roman"/>
          <w:szCs w:val="24"/>
        </w:rPr>
        <w:t>.</w:t>
      </w:r>
      <w:proofErr w:type="gramEnd"/>
      <w:r w:rsidRPr="00D75E84">
        <w:rPr>
          <w:rFonts w:eastAsia="Times New Roman"/>
          <w:szCs w:val="24"/>
        </w:rPr>
        <w:t xml:space="preserve"> </w:t>
      </w:r>
      <w:proofErr w:type="gramStart"/>
      <w:r w:rsidRPr="00D75E84">
        <w:rPr>
          <w:rFonts w:eastAsia="Times New Roman"/>
          <w:szCs w:val="24"/>
        </w:rPr>
        <w:t>Southwestern Baptist Theological Seminary, 2019.</w:t>
      </w:r>
      <w:proofErr w:type="gramEnd"/>
    </w:p>
    <w:p w:rsidR="0003618D" w:rsidRPr="00D75E84" w:rsidRDefault="0003618D" w:rsidP="00D75E84">
      <w:pPr>
        <w:ind w:left="720" w:hanging="720"/>
        <w:rPr>
          <w:szCs w:val="24"/>
        </w:rPr>
      </w:pPr>
      <w:r w:rsidRPr="00D75E84">
        <w:rPr>
          <w:szCs w:val="24"/>
        </w:rPr>
        <w:t xml:space="preserve">Kuykendall, Michael. </w:t>
      </w:r>
      <w:r w:rsidRPr="00D75E84">
        <w:rPr>
          <w:i/>
          <w:iCs/>
          <w:szCs w:val="24"/>
        </w:rPr>
        <w:t>Lions, Locusts, and the Lamb: Interpreting Key Images in the Book of Revelation</w:t>
      </w:r>
      <w:r w:rsidRPr="00D75E84">
        <w:rPr>
          <w:szCs w:val="24"/>
        </w:rPr>
        <w:t xml:space="preserve">. </w:t>
      </w:r>
      <w:proofErr w:type="spellStart"/>
      <w:proofErr w:type="gramStart"/>
      <w:r w:rsidRPr="00D75E84">
        <w:rPr>
          <w:szCs w:val="24"/>
        </w:rPr>
        <w:t>Wipf</w:t>
      </w:r>
      <w:proofErr w:type="spellEnd"/>
      <w:r w:rsidRPr="00D75E84">
        <w:rPr>
          <w:szCs w:val="24"/>
        </w:rPr>
        <w:t xml:space="preserve"> and Stock Publishers, 2019.</w:t>
      </w:r>
      <w:proofErr w:type="gramEnd"/>
    </w:p>
    <w:p w:rsidR="00D75E84" w:rsidRPr="00D75E84" w:rsidRDefault="00D75E84" w:rsidP="00D75E84">
      <w:pPr>
        <w:ind w:left="720" w:hanging="720"/>
        <w:rPr>
          <w:szCs w:val="24"/>
        </w:rPr>
      </w:pPr>
    </w:p>
    <w:p w:rsidR="00D75E84" w:rsidRPr="00A646B5" w:rsidRDefault="00D75E84" w:rsidP="00A646B5"/>
    <w:sectPr w:rsidR="00D75E84" w:rsidRPr="00A646B5" w:rsidSect="00C1022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771" w:rsidRDefault="00281771" w:rsidP="00E55273">
      <w:pPr>
        <w:spacing w:after="0" w:line="240" w:lineRule="auto"/>
      </w:pPr>
      <w:r>
        <w:separator/>
      </w:r>
    </w:p>
  </w:endnote>
  <w:endnote w:type="continuationSeparator" w:id="0">
    <w:p w:rsidR="00281771" w:rsidRDefault="00281771"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771" w:rsidRDefault="00281771" w:rsidP="00E55273">
      <w:pPr>
        <w:spacing w:after="0" w:line="240" w:lineRule="auto"/>
      </w:pPr>
      <w:r>
        <w:separator/>
      </w:r>
    </w:p>
  </w:footnote>
  <w:footnote w:type="continuationSeparator" w:id="0">
    <w:p w:rsidR="00281771" w:rsidRDefault="00281771" w:rsidP="00E55273">
      <w:pPr>
        <w:spacing w:after="0" w:line="240" w:lineRule="auto"/>
      </w:pPr>
      <w:r>
        <w:continuationSeparator/>
      </w:r>
    </w:p>
  </w:footnote>
  <w:footnote w:id="1">
    <w:p w:rsidR="00C10223" w:rsidRDefault="00C10223">
      <w:pPr>
        <w:pStyle w:val="FootnoteText"/>
      </w:pPr>
      <w:r>
        <w:rPr>
          <w:rStyle w:val="FootnoteReference"/>
        </w:rPr>
        <w:footnoteRef/>
      </w:r>
      <w:r>
        <w:t xml:space="preserve"> </w:t>
      </w:r>
      <w:r w:rsidRPr="00C10223">
        <w:rPr>
          <w:sz w:val="22"/>
          <w:szCs w:val="24"/>
        </w:rPr>
        <w:t>Brown, Ian R. "The Two Witnesses of Revelation 11: 1-13: Arguments, Issues of Interpretation, and a Way Forward." (2016)</w:t>
      </w:r>
    </w:p>
  </w:footnote>
  <w:footnote w:id="2">
    <w:p w:rsidR="00C10223" w:rsidRDefault="00C10223">
      <w:pPr>
        <w:pStyle w:val="FootnoteText"/>
      </w:pPr>
      <w:r>
        <w:rPr>
          <w:rStyle w:val="FootnoteReference"/>
        </w:rPr>
        <w:footnoteRef/>
      </w:r>
      <w:r>
        <w:t xml:space="preserve"> </w:t>
      </w:r>
      <w:r w:rsidRPr="00C10223">
        <w:rPr>
          <w:sz w:val="22"/>
          <w:szCs w:val="24"/>
        </w:rPr>
        <w:t>Brown, Ian R. "The Two Witnesses of Revelation 11: 1-13: Arguments, Issues of Interpretation, and a Way Forward." (2016)</w:t>
      </w:r>
    </w:p>
  </w:footnote>
  <w:footnote w:id="3">
    <w:p w:rsidR="00321650" w:rsidRPr="00D75E84" w:rsidRDefault="00321650" w:rsidP="00321650">
      <w:pPr>
        <w:spacing w:after="0"/>
        <w:ind w:left="720" w:hanging="720"/>
        <w:rPr>
          <w:rFonts w:eastAsia="Times New Roman"/>
          <w:szCs w:val="24"/>
        </w:rPr>
      </w:pPr>
      <w:r>
        <w:rPr>
          <w:rStyle w:val="FootnoteReference"/>
        </w:rPr>
        <w:footnoteRef/>
      </w:r>
      <w:r>
        <w:t xml:space="preserve"> </w:t>
      </w:r>
      <w:proofErr w:type="spellStart"/>
      <w:r w:rsidRPr="00321650">
        <w:rPr>
          <w:rFonts w:eastAsia="Times New Roman"/>
          <w:sz w:val="22"/>
          <w:szCs w:val="24"/>
        </w:rPr>
        <w:t>Clintoc</w:t>
      </w:r>
      <w:proofErr w:type="spellEnd"/>
      <w:r w:rsidRPr="00321650">
        <w:rPr>
          <w:rFonts w:eastAsia="Times New Roman"/>
          <w:sz w:val="22"/>
          <w:szCs w:val="24"/>
        </w:rPr>
        <w:t xml:space="preserve">, </w:t>
      </w:r>
      <w:proofErr w:type="spellStart"/>
      <w:r w:rsidRPr="00321650">
        <w:rPr>
          <w:rFonts w:eastAsia="Times New Roman"/>
          <w:sz w:val="22"/>
          <w:szCs w:val="24"/>
        </w:rPr>
        <w:t>Viorel</w:t>
      </w:r>
      <w:proofErr w:type="spellEnd"/>
      <w:r w:rsidRPr="00321650">
        <w:rPr>
          <w:rFonts w:eastAsia="Times New Roman"/>
          <w:sz w:val="22"/>
          <w:szCs w:val="24"/>
        </w:rPr>
        <w:t xml:space="preserve"> Samuel. </w:t>
      </w:r>
      <w:proofErr w:type="gramStart"/>
      <w:r w:rsidRPr="00321650">
        <w:rPr>
          <w:rFonts w:eastAsia="Times New Roman"/>
          <w:i/>
          <w:iCs/>
          <w:sz w:val="22"/>
          <w:szCs w:val="24"/>
        </w:rPr>
        <w:t>The Theme of Witness in the Book of Revelation as Divine Testimony</w:t>
      </w:r>
      <w:r w:rsidRPr="00321650">
        <w:rPr>
          <w:rFonts w:eastAsia="Times New Roman"/>
          <w:sz w:val="22"/>
          <w:szCs w:val="24"/>
        </w:rPr>
        <w:t>.</w:t>
      </w:r>
      <w:proofErr w:type="gramEnd"/>
      <w:r w:rsidRPr="00321650">
        <w:rPr>
          <w:rFonts w:eastAsia="Times New Roman"/>
          <w:sz w:val="22"/>
          <w:szCs w:val="24"/>
        </w:rPr>
        <w:t xml:space="preserve"> </w:t>
      </w:r>
      <w:proofErr w:type="gramStart"/>
      <w:r w:rsidRPr="00321650">
        <w:rPr>
          <w:rFonts w:eastAsia="Times New Roman"/>
          <w:sz w:val="22"/>
          <w:szCs w:val="24"/>
        </w:rPr>
        <w:t>Southwestern Baptist Theological Seminary, 2019.</w:t>
      </w:r>
      <w:proofErr w:type="gramEnd"/>
    </w:p>
    <w:p w:rsidR="00321650" w:rsidRDefault="00321650">
      <w:pPr>
        <w:pStyle w:val="FootnoteText"/>
      </w:pPr>
    </w:p>
  </w:footnote>
  <w:footnote w:id="4">
    <w:p w:rsidR="00321650" w:rsidRDefault="00321650">
      <w:pPr>
        <w:pStyle w:val="FootnoteText"/>
      </w:pPr>
      <w:r>
        <w:rPr>
          <w:rStyle w:val="FootnoteReference"/>
        </w:rPr>
        <w:footnoteRef/>
      </w:r>
      <w:r>
        <w:t xml:space="preserve"> </w:t>
      </w:r>
      <w:r w:rsidRPr="00321650">
        <w:rPr>
          <w:sz w:val="22"/>
          <w:szCs w:val="24"/>
        </w:rPr>
        <w:t>Brown, Ian R. "The Two Witnesses of Revelation 11: 1-13: Arguments, Issues of Interpretation, and a Way Forward." (2016).</w:t>
      </w:r>
    </w:p>
  </w:footnote>
  <w:footnote w:id="5">
    <w:p w:rsidR="00321650" w:rsidRDefault="00321650">
      <w:pPr>
        <w:pStyle w:val="FootnoteText"/>
      </w:pPr>
      <w:r>
        <w:rPr>
          <w:rStyle w:val="FootnoteReference"/>
        </w:rPr>
        <w:footnoteRef/>
      </w:r>
      <w:r>
        <w:t xml:space="preserve"> </w:t>
      </w:r>
      <w:r w:rsidRPr="00321650">
        <w:t>Kuykendall, Michael. </w:t>
      </w:r>
      <w:r w:rsidRPr="00321650">
        <w:rPr>
          <w:i/>
          <w:iCs/>
        </w:rPr>
        <w:t>Lions, Locusts, and the Lamb: Interpreting Key Images in the Book of Revelation</w:t>
      </w:r>
      <w:r w:rsidRPr="00321650">
        <w:t xml:space="preserve">. </w:t>
      </w:r>
      <w:proofErr w:type="spellStart"/>
      <w:proofErr w:type="gramStart"/>
      <w:r w:rsidRPr="00321650">
        <w:t>Wipf</w:t>
      </w:r>
      <w:proofErr w:type="spellEnd"/>
      <w:r w:rsidRPr="00321650">
        <w:t xml:space="preserve"> and Stock Publishers, 2019.</w:t>
      </w:r>
      <w:proofErr w:type="gramEnd"/>
    </w:p>
  </w:footnote>
  <w:footnote w:id="6">
    <w:p w:rsidR="00321650" w:rsidRPr="00D75E84" w:rsidRDefault="00321650" w:rsidP="00321650">
      <w:pPr>
        <w:spacing w:after="0"/>
        <w:ind w:left="720" w:hanging="720"/>
        <w:rPr>
          <w:rFonts w:eastAsia="Times New Roman"/>
          <w:szCs w:val="24"/>
        </w:rPr>
      </w:pPr>
      <w:r>
        <w:rPr>
          <w:rStyle w:val="FootnoteReference"/>
        </w:rPr>
        <w:footnoteRef/>
      </w:r>
      <w:r>
        <w:t xml:space="preserve"> </w:t>
      </w:r>
      <w:proofErr w:type="spellStart"/>
      <w:r w:rsidRPr="00321650">
        <w:rPr>
          <w:rFonts w:eastAsia="Times New Roman"/>
          <w:sz w:val="22"/>
          <w:szCs w:val="24"/>
        </w:rPr>
        <w:t>Clintoc</w:t>
      </w:r>
      <w:proofErr w:type="spellEnd"/>
      <w:r w:rsidRPr="00321650">
        <w:rPr>
          <w:rFonts w:eastAsia="Times New Roman"/>
          <w:sz w:val="22"/>
          <w:szCs w:val="24"/>
        </w:rPr>
        <w:t xml:space="preserve">, </w:t>
      </w:r>
      <w:proofErr w:type="spellStart"/>
      <w:r w:rsidRPr="00321650">
        <w:rPr>
          <w:rFonts w:eastAsia="Times New Roman"/>
          <w:sz w:val="22"/>
          <w:szCs w:val="24"/>
        </w:rPr>
        <w:t>Viorel</w:t>
      </w:r>
      <w:proofErr w:type="spellEnd"/>
      <w:r w:rsidRPr="00321650">
        <w:rPr>
          <w:rFonts w:eastAsia="Times New Roman"/>
          <w:sz w:val="22"/>
          <w:szCs w:val="24"/>
        </w:rPr>
        <w:t xml:space="preserve"> Samuel. </w:t>
      </w:r>
      <w:proofErr w:type="gramStart"/>
      <w:r w:rsidRPr="00321650">
        <w:rPr>
          <w:rFonts w:eastAsia="Times New Roman"/>
          <w:i/>
          <w:iCs/>
          <w:sz w:val="22"/>
          <w:szCs w:val="24"/>
        </w:rPr>
        <w:t>The Theme of Witness in the Book of Revelation as Divine Testimony</w:t>
      </w:r>
      <w:r w:rsidRPr="00321650">
        <w:rPr>
          <w:rFonts w:eastAsia="Times New Roman"/>
          <w:sz w:val="22"/>
          <w:szCs w:val="24"/>
        </w:rPr>
        <w:t>.</w:t>
      </w:r>
      <w:proofErr w:type="gramEnd"/>
      <w:r w:rsidRPr="00321650">
        <w:rPr>
          <w:rFonts w:eastAsia="Times New Roman"/>
          <w:sz w:val="22"/>
          <w:szCs w:val="24"/>
        </w:rPr>
        <w:t xml:space="preserve"> </w:t>
      </w:r>
      <w:proofErr w:type="gramStart"/>
      <w:r w:rsidRPr="00321650">
        <w:rPr>
          <w:rFonts w:eastAsia="Times New Roman"/>
          <w:sz w:val="22"/>
          <w:szCs w:val="24"/>
        </w:rPr>
        <w:t>Southwestern Baptist Theological Seminary, 2019.</w:t>
      </w:r>
      <w:proofErr w:type="gramEnd"/>
    </w:p>
    <w:p w:rsidR="00321650" w:rsidRDefault="0032165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5875139"/>
      <w:docPartObj>
        <w:docPartGallery w:val="Page Numbers (Top of Page)"/>
        <w:docPartUnique/>
      </w:docPartObj>
    </w:sdtPr>
    <w:sdtEndPr>
      <w:rPr>
        <w:noProof/>
      </w:rPr>
    </w:sdtEndPr>
    <w:sdtContent>
      <w:p w:rsidR="00C10223" w:rsidRDefault="00C10223">
        <w:pPr>
          <w:pStyle w:val="Header"/>
          <w:jc w:val="right"/>
        </w:pPr>
        <w:r>
          <w:fldChar w:fldCharType="begin"/>
        </w:r>
        <w:r>
          <w:instrText xml:space="preserve"> PAGE   \* MERGEFORMAT </w:instrText>
        </w:r>
        <w:r>
          <w:fldChar w:fldCharType="separate"/>
        </w:r>
        <w:r w:rsidR="00321650">
          <w:rPr>
            <w:noProof/>
          </w:rPr>
          <w:t>5</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713E84">
        <w:pPr>
          <w:pStyle w:val="Header"/>
          <w:jc w:val="right"/>
        </w:pPr>
        <w:r>
          <w:t xml:space="preserve">  Surname </w:t>
        </w:r>
        <w:r w:rsidR="00E55273">
          <w:fldChar w:fldCharType="begin"/>
        </w:r>
        <w:r w:rsidR="00E55273">
          <w:instrText xml:space="preserve"> PAGE   \* MERGEFORMAT </w:instrText>
        </w:r>
        <w:r w:rsidR="00E55273">
          <w:fldChar w:fldCharType="separate"/>
        </w:r>
        <w:r w:rsidR="00C10223">
          <w:rPr>
            <w:noProof/>
          </w:rPr>
          <w:t>1</w:t>
        </w:r>
        <w:r w:rsidR="00E55273">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34FB"/>
    <w:rsid w:val="0003618D"/>
    <w:rsid w:val="000D5D55"/>
    <w:rsid w:val="00192202"/>
    <w:rsid w:val="00196E21"/>
    <w:rsid w:val="00235EC4"/>
    <w:rsid w:val="00256BA3"/>
    <w:rsid w:val="00281771"/>
    <w:rsid w:val="002E72F7"/>
    <w:rsid w:val="00321650"/>
    <w:rsid w:val="003409E3"/>
    <w:rsid w:val="00465847"/>
    <w:rsid w:val="004B2A0D"/>
    <w:rsid w:val="0057417E"/>
    <w:rsid w:val="00642EC9"/>
    <w:rsid w:val="00713E84"/>
    <w:rsid w:val="007D64B3"/>
    <w:rsid w:val="008B5359"/>
    <w:rsid w:val="00963DBE"/>
    <w:rsid w:val="009B7E22"/>
    <w:rsid w:val="009F2A3F"/>
    <w:rsid w:val="00A100A6"/>
    <w:rsid w:val="00A27F97"/>
    <w:rsid w:val="00A646B5"/>
    <w:rsid w:val="00BB164F"/>
    <w:rsid w:val="00C10223"/>
    <w:rsid w:val="00D75E84"/>
    <w:rsid w:val="00D84BEF"/>
    <w:rsid w:val="00E54B86"/>
    <w:rsid w:val="00E55273"/>
    <w:rsid w:val="00E83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FootnoteText">
    <w:name w:val="footnote text"/>
    <w:basedOn w:val="Normal"/>
    <w:link w:val="FootnoteTextChar"/>
    <w:uiPriority w:val="99"/>
    <w:semiHidden/>
    <w:unhideWhenUsed/>
    <w:rsid w:val="000D5D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5D55"/>
    <w:rPr>
      <w:sz w:val="20"/>
      <w:szCs w:val="20"/>
    </w:rPr>
  </w:style>
  <w:style w:type="character" w:styleId="FootnoteReference">
    <w:name w:val="footnote reference"/>
    <w:basedOn w:val="DefaultParagraphFont"/>
    <w:uiPriority w:val="99"/>
    <w:semiHidden/>
    <w:unhideWhenUsed/>
    <w:rsid w:val="000D5D55"/>
    <w:rPr>
      <w:vertAlign w:val="superscript"/>
    </w:rPr>
  </w:style>
  <w:style w:type="paragraph" w:styleId="EndnoteText">
    <w:name w:val="endnote text"/>
    <w:basedOn w:val="Normal"/>
    <w:link w:val="EndnoteTextChar"/>
    <w:uiPriority w:val="99"/>
    <w:semiHidden/>
    <w:unhideWhenUsed/>
    <w:rsid w:val="00D84B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BEF"/>
    <w:rPr>
      <w:sz w:val="20"/>
      <w:szCs w:val="20"/>
    </w:rPr>
  </w:style>
  <w:style w:type="character" w:styleId="EndnoteReference">
    <w:name w:val="endnote reference"/>
    <w:basedOn w:val="DefaultParagraphFont"/>
    <w:uiPriority w:val="99"/>
    <w:semiHidden/>
    <w:unhideWhenUsed/>
    <w:rsid w:val="00D84BE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paragraph" w:styleId="FootnoteText">
    <w:name w:val="footnote text"/>
    <w:basedOn w:val="Normal"/>
    <w:link w:val="FootnoteTextChar"/>
    <w:uiPriority w:val="99"/>
    <w:semiHidden/>
    <w:unhideWhenUsed/>
    <w:rsid w:val="000D5D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5D55"/>
    <w:rPr>
      <w:sz w:val="20"/>
      <w:szCs w:val="20"/>
    </w:rPr>
  </w:style>
  <w:style w:type="character" w:styleId="FootnoteReference">
    <w:name w:val="footnote reference"/>
    <w:basedOn w:val="DefaultParagraphFont"/>
    <w:uiPriority w:val="99"/>
    <w:semiHidden/>
    <w:unhideWhenUsed/>
    <w:rsid w:val="000D5D55"/>
    <w:rPr>
      <w:vertAlign w:val="superscript"/>
    </w:rPr>
  </w:style>
  <w:style w:type="paragraph" w:styleId="EndnoteText">
    <w:name w:val="endnote text"/>
    <w:basedOn w:val="Normal"/>
    <w:link w:val="EndnoteTextChar"/>
    <w:uiPriority w:val="99"/>
    <w:semiHidden/>
    <w:unhideWhenUsed/>
    <w:rsid w:val="00D84B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4BEF"/>
    <w:rPr>
      <w:sz w:val="20"/>
      <w:szCs w:val="20"/>
    </w:rPr>
  </w:style>
  <w:style w:type="character" w:styleId="EndnoteReference">
    <w:name w:val="endnote reference"/>
    <w:basedOn w:val="DefaultParagraphFont"/>
    <w:uiPriority w:val="99"/>
    <w:semiHidden/>
    <w:unhideWhenUsed/>
    <w:rsid w:val="00D84B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514999">
      <w:bodyDiv w:val="1"/>
      <w:marLeft w:val="0"/>
      <w:marRight w:val="0"/>
      <w:marTop w:val="0"/>
      <w:marBottom w:val="0"/>
      <w:divBdr>
        <w:top w:val="none" w:sz="0" w:space="0" w:color="auto"/>
        <w:left w:val="none" w:sz="0" w:space="0" w:color="auto"/>
        <w:bottom w:val="none" w:sz="0" w:space="0" w:color="auto"/>
        <w:right w:val="none" w:sz="0" w:space="0" w:color="auto"/>
      </w:divBdr>
      <w:divsChild>
        <w:div w:id="428158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B8A87-8545-4AEA-BEF6-BE05F993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2020-08-03T11:41:00Z</dcterms:created>
  <dcterms:modified xsi:type="dcterms:W3CDTF">2020-08-03T14:02:00Z</dcterms:modified>
</cp:coreProperties>
</file>